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80"/>
      </w:pPr>
    </w:p>
    <w:p>
      <w:pPr>
        <w:spacing w:after="80"/>
      </w:pPr>
    </w:p>
    <w:p>
      <w:pPr>
        <w:spacing w:after="80"/>
      </w:pPr>
    </w:p>
    <w:p>
      <w:pPr>
        <w:spacing w:after="80"/>
      </w:pPr>
    </w:p>
    <w:p>
      <w:pPr>
        <w:spacing w:after="80"/>
      </w:pPr>
    </w:p>
    <w:p>
      <w:pPr>
        <w:spacing w:after="200"/>
        <w:jc w:val="center"/>
      </w:pPr>
      <w:r>
        <w:rPr>
          <w:rFonts w:ascii="Arial" w:cs="Arial" w:eastAsia="Arial" w:hAnsi="Arial"/>
          <w:b/>
          <w:bCs/>
          <w:color w:val="C1440E"/>
          <w:sz w:val="72"/>
          <w:szCs w:val="72"/>
        </w:rPr>
        <w:t xml:space="preserve">ALL HANDS TO THE WHEEL</w:t>
      </w:r>
    </w:p>
    <w:p>
      <w:pPr>
        <w:spacing w:after="400"/>
        <w:jc w:val="center"/>
      </w:pPr>
      <w:r>
        <w:rPr>
          <w:rFonts w:ascii="Arial" w:cs="Arial" w:eastAsia="Arial" w:hAnsi="Arial"/>
          <w:b/>
          <w:bCs/>
          <w:color w:val="1B2A4A"/>
          <w:sz w:val="36"/>
          <w:szCs w:val="36"/>
        </w:rPr>
        <w:t xml:space="preserve">NATIONAL HOUSING EMERGENCY</w:t>
      </w:r>
    </w:p>
    <w:p>
      <w:pPr>
        <w:pBdr>
          <w:top w:val="single" w:color="C1440E" w:sz="6" w:space="12"/>
        </w:pBdr>
        <w:spacing w:after="100"/>
        <w:jc w:val="center"/>
      </w:pPr>
    </w:p>
    <w:p>
      <w:pPr>
        <w:spacing w:after="200"/>
        <w:jc w:val="center"/>
      </w:pPr>
      <w:r>
        <w:rPr>
          <w:rFonts w:ascii="Arial" w:cs="Arial" w:eastAsia="Arial" w:hAnsi="Arial"/>
          <w:b/>
          <w:bCs/>
          <w:color w:val="1B2A4A"/>
          <w:sz w:val="32"/>
          <w:szCs w:val="32"/>
        </w:rPr>
        <w:t xml:space="preserve">F2K — Factory to Key</w:t>
      </w:r>
    </w:p>
    <w:p>
      <w:pPr>
        <w:spacing w:after="100"/>
        <w:jc w:val="center"/>
      </w:pPr>
      <w:r>
        <w:rPr>
          <w:rFonts w:ascii="Arial" w:cs="Arial" w:eastAsia="Arial" w:hAnsi="Arial"/>
          <w:color w:val="666666"/>
          <w:sz w:val="24"/>
          <w:szCs w:val="24"/>
        </w:rPr>
        <w:t xml:space="preserve">The Impartial National Integrator</w:t>
      </w:r>
    </w:p>
    <w:p>
      <w:pPr>
        <w:spacing w:after="100"/>
        <w:jc w:val="center"/>
      </w:pPr>
      <w:r>
        <w:rPr>
          <w:rFonts w:ascii="Arial" w:cs="Arial" w:eastAsia="Arial" w:hAnsi="Arial"/>
          <w:color w:val="666666"/>
          <w:sz w:val="22"/>
          <w:szCs w:val="22"/>
        </w:rPr>
        <w:t xml:space="preserve">National Action Plan — Procurement Pathways &amp; Market Entry</w:t>
      </w:r>
    </w:p>
    <w:p>
      <w:pPr>
        <w:spacing w:after="80"/>
      </w:pPr>
    </w:p>
    <w:p>
      <w:pPr>
        <w:spacing w:after="80"/>
      </w:pPr>
    </w:p>
    <w:p>
      <w:pPr>
        <w:spacing w:after="80"/>
      </w:pPr>
    </w:p>
    <w:p>
      <w:pPr>
        <w:spacing w:after="80"/>
      </w:pPr>
    </w:p>
    <w:p>
      <w:pPr>
        <w:spacing w:after="80"/>
      </w:pPr>
    </w:p>
    <w:p>
      <w:pPr>
        <w:spacing w:after="80"/>
      </w:pPr>
    </w:p>
    <w:p>
      <w:pPr>
        <w:jc w:val="center"/>
      </w:pPr>
      <w:r>
        <w:rPr>
          <w:rFonts w:ascii="Arial" w:cs="Arial" w:eastAsia="Arial" w:hAnsi="Arial"/>
          <w:color w:val="999999"/>
          <w:sz w:val="20"/>
          <w:szCs w:val="20"/>
        </w:rPr>
        <w:t xml:space="preserve">CONFIDENTIAL — February 2026</w:t>
      </w:r>
    </w:p>
    <w:p>
      <w:pPr>
        <w:sectPr>
          <w:pgSz w:w="11906" w:h="16838" w:orient="portrait"/>
          <w:pgMar w:top="1440" w:right="1440" w:bottom="1440" w:left="1440" w:header="708" w:footer="708" w:gutter="0"/>
          <w:pgNumType/>
          <w:docGrid w:linePitch="360"/>
        </w:sectPr>
      </w:pPr>
    </w:p>
    <w:p>
      <w:pPr>
        <w:pStyle w:val="Heading1"/>
      </w:pPr>
      <w:r>
        <w:t xml:space="preserve">1. The National Housing Emergency</w:t>
      </w:r>
    </w:p>
    <w:p>
      <w:pPr>
        <w:spacing w:after="160"/>
      </w:pPr>
      <w:r>
        <w:t xml:space="preserve">Australia is in a housing crisis of historic proportions. The numbers are unambiguous: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Metric</w:t>
            </w:r>
          </w:p>
        </w:tc>
        <w:tc>
          <w:tcPr>
            <w:tcW w:type="dxa" w:w="5526"/>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Data</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National waitlist</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169,000 households on social housing waitlists (record high)</w:t>
            </w:r>
          </w:p>
        </w:tc>
      </w:tr>
      <w:tr>
        <w:tc>
          <w:tcPr>
            <w:tcW w:type="dxa" w:w="3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Shortfall to target</w:t>
            </w:r>
          </w:p>
        </w:tc>
        <w:tc>
          <w:tcPr>
            <w:tcW w:type="dxa" w:w="55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375,000 homes short of 1.2 million target by mid-2029</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Absolute shortfall</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200,000–300,000 homes deficit for current population</w:t>
            </w:r>
          </w:p>
        </w:tc>
      </w:tr>
      <w:tr>
        <w:tc>
          <w:tcPr>
            <w:tcW w:type="dxa" w:w="3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Victoria waitlist</w:t>
            </w:r>
          </w:p>
        </w:tc>
        <w:tc>
          <w:tcPr>
            <w:tcW w:type="dxa" w:w="55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66,117 people (up 7.4% from 2024)</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WA waitlist</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20,700 households (priority cases up 330% since 2018)</w:t>
            </w:r>
          </w:p>
        </w:tc>
      </w:tr>
      <w:tr>
        <w:tc>
          <w:tcPr>
            <w:tcW w:type="dxa" w:w="3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WA shortfall</w:t>
            </w:r>
          </w:p>
        </w:tc>
        <w:tc>
          <w:tcPr>
            <w:tcW w:type="dxa" w:w="55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16,000 additional social housing units needed</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NT overcrowding</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 people per dwelling in remote Aboriginal communities</w:t>
            </w:r>
          </w:p>
        </w:tc>
      </w:tr>
      <w:tr>
        <w:tc>
          <w:tcPr>
            <w:tcW w:type="dxa" w:w="3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Homelessness services</w:t>
            </w:r>
          </w:p>
        </w:tc>
        <w:tc>
          <w:tcPr>
            <w:tcW w:type="dxa" w:w="55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280,000 clients accessing specialist homelessness services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Housing stress</w:t>
            </w:r>
          </w:p>
        </w:tc>
        <w:tc>
          <w:tcPr>
            <w:tcW w:type="dxa" w:w="5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71% of people seeking emergency relief in housing stress</w:t>
            </w:r>
          </w:p>
        </w:tc>
      </w:tr>
      <w:tr>
        <w:tc>
          <w:tcPr>
            <w:tcW w:type="dxa" w:w="3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Modular market share</w:t>
            </w:r>
          </w:p>
        </w:tc>
        <w:tc>
          <w:tcPr>
            <w:tcW w:type="dxa" w:w="55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Only 5% of construction market — needs to reach 25–30%</w:t>
            </w:r>
          </w:p>
        </w:tc>
      </w:tr>
    </w:tbl>
    <w:p>
      <w:pPr>
        <w:spacing w:after="80"/>
      </w:pPr>
    </w:p>
    <w:p>
      <w:pPr>
        <w:spacing w:after="160"/>
      </w:pPr>
      <w:r>
        <w:t xml:space="preserve">The National Housing Supply and Affordability Council has stated that the Australian housing system remains far from healthy and continues to experience immense pressure. Labour shortages, high material costs, low rates of productivity and innovation in the construction sector, and complex planning systems are identified as the binding constraints. The single biggest barrier is that many housing projects are not commercially viable given current costs relative to expected sale prices.</w:t>
      </w:r>
    </w:p>
    <w:p>
      <w:pPr>
        <w:spacing w:after="160"/>
      </w:pPr>
      <w:r>
        <w:t xml:space="preserve">This is precisely why modular and prefabricated construction — coordinated by an impartial national integrator — is the solution every government has identified but none has yet been able to deliver at scale.</w:t>
      </w:r>
    </w:p>
    <w:p>
      <w:r>
        <w:br w:type="page"/>
      </w:r>
    </w:p>
    <w:p>
      <w:pPr>
        <w:pStyle w:val="Heading1"/>
      </w:pPr>
      <w:r>
        <w:t xml:space="preserve">2. Combined Government Investment</w:t>
      </w:r>
    </w:p>
    <w:p>
      <w:pPr>
        <w:spacing w:after="160"/>
      </w:pPr>
      <w:r>
        <w:t xml:space="preserve">The funding commitment across all levels of government is unprecedented. The question is no longer whether the money exists, but whether the delivery infrastructure exists to spend it effectively.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2200"/>
        <w:gridCol w:w="1800"/>
        <w:gridCol w:w="1626"/>
      </w:tblGrid>
      <w:tr>
        <w:tc>
          <w:tcPr>
            <w:tcW w:type="dxa" w:w="20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Jurisdiction</w:t>
            </w:r>
          </w:p>
        </w:tc>
        <w:tc>
          <w:tcPr>
            <w:tcW w:type="dxa" w:w="14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Investment</w:t>
            </w:r>
          </w:p>
        </w:tc>
        <w:tc>
          <w:tcPr>
            <w:tcW w:type="dxa" w:w="22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Dwelling Target</w:t>
            </w:r>
          </w:p>
        </w:tc>
        <w:tc>
          <w:tcPr>
            <w:tcW w:type="dxa" w:w="18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MMC Status</w:t>
            </w:r>
          </w:p>
        </w:tc>
        <w:tc>
          <w:tcPr>
            <w:tcW w:type="dxa" w:w="1626"/>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Aboriginal</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Federal</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$43B+</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40,000 HAFF by 2029</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$54M MMC + cert</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$300M+ remote</w:t>
            </w:r>
          </w:p>
        </w:tc>
      </w:tr>
      <w:tr>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QLD</w:t>
            </w:r>
          </w:p>
        </w:tc>
        <w:tc>
          <w:tcPr>
            <w:tcW w:type="dxa" w:w="14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$8.1B</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53,500 by 2044</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600+ modular, SOA</w:t>
            </w:r>
          </w:p>
        </w:tc>
        <w:tc>
          <w:tcPr>
            <w:tcW w:type="dxa" w:w="16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FNQ, Cape York</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NSW</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$6.6B</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10-year strategy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 in FY26, 28 list</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Western, NR</w:t>
            </w:r>
          </w:p>
        </w:tc>
      </w:tr>
      <w:tr>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WA</w:t>
            </w:r>
          </w:p>
        </w:tc>
        <w:tc>
          <w:tcPr>
            <w:tcW w:type="dxa" w:w="14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$5.8B</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6,600+ by 2029</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$50M innovation</w:t>
            </w:r>
          </w:p>
        </w:tc>
        <w:tc>
          <w:tcPr>
            <w:tcW w:type="dxa" w:w="16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Kimberley, Pilbara</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VIC</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$5.3B+</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Big Housing Build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$50M CoE, 24 firms</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348 homes, 93 proj</w:t>
            </w:r>
          </w:p>
        </w:tc>
      </w:tr>
      <w:tr>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NT</w:t>
            </w:r>
          </w:p>
        </w:tc>
        <w:tc>
          <w:tcPr>
            <w:tcW w:type="dxa" w:w="14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$4.0B</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2,700 over 10yr</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Primary method</w:t>
            </w:r>
          </w:p>
        </w:tc>
        <w:tc>
          <w:tcPr>
            <w:tcW w:type="dxa" w:w="16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Entire program</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18"/>
                <w:szCs w:val="18"/>
              </w:rPr>
              <w:t xml:space="preserve">SA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Active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120 modular tender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SIPs pilot</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APY, Far North</w:t>
            </w:r>
          </w:p>
        </w:tc>
      </w:tr>
      <w:tr>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sz w:val="18"/>
                <w:szCs w:val="18"/>
              </w:rPr>
              <w:t xml:space="preserve">TAS</w:t>
            </w:r>
          </w:p>
        </w:tc>
        <w:tc>
          <w:tcPr>
            <w:tcW w:type="dxa" w:w="14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Active</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200+ / 4 years</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Podmatrix pilot</w:t>
            </w:r>
          </w:p>
        </w:tc>
        <w:tc>
          <w:tcPr>
            <w:tcW w:type="dxa" w:w="16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Present</w:t>
            </w:r>
          </w:p>
        </w:tc>
      </w:tr>
      <w:tr>
        <w:tc>
          <w:tcPr>
            <w:tcW w:type="dxa" w:w="2000"/>
            <w:tcBorders>
              <w:top w:val="single" w:color="1a1a1a" w:sz="2"/>
              <w:left w:val="single" w:color="1a1a1a" w:sz="2"/>
              <w:bottom w:val="single" w:color="1a1a1a" w:sz="2"/>
              <w:right w:val="single" w:color="1a1a1a" w:sz="2"/>
            </w:tcBorders>
            <w:shd w:fill="FFF3E0" w:val="clear"/>
            <w:tcMar>
              <w:top w:type="dxa" w:w="80"/>
              <w:left w:type="dxa" w:w="120"/>
              <w:bottom w:type="dxa" w:w="80"/>
              <w:right w:type="dxa" w:w="120"/>
            </w:tcMar>
          </w:tcPr>
          <w:p>
            <w:r>
              <w:rPr>
                <w:rFonts w:ascii="Arial" w:cs="Arial" w:eastAsia="Arial" w:hAnsi="Arial"/>
                <w:b/>
                <w:bCs/>
                <w:sz w:val="20"/>
                <w:szCs w:val="20"/>
              </w:rPr>
              <w:t xml:space="preserve">TOTAL</w:t>
            </w:r>
          </w:p>
        </w:tc>
        <w:tc>
          <w:tcPr>
            <w:tcW w:type="dxa" w:w="1400"/>
            <w:tcBorders>
              <w:top w:val="single" w:color="1a1a1a" w:sz="2"/>
              <w:left w:val="single" w:color="1a1a1a" w:sz="2"/>
              <w:bottom w:val="single" w:color="1a1a1a" w:sz="2"/>
              <w:right w:val="single" w:color="1a1a1a" w:sz="2"/>
            </w:tcBorders>
            <w:shd w:fill="FFF3E0" w:val="clear"/>
            <w:tcMar>
              <w:top w:type="dxa" w:w="80"/>
              <w:left w:type="dxa" w:w="120"/>
              <w:bottom w:type="dxa" w:w="80"/>
              <w:right w:type="dxa" w:w="120"/>
            </w:tcMar>
          </w:tcPr>
          <w:p>
            <w:r>
              <w:rPr>
                <w:rFonts w:ascii="Arial" w:cs="Arial" w:eastAsia="Arial" w:hAnsi="Arial"/>
                <w:b/>
                <w:bCs/>
                <w:color w:val="C1440E"/>
                <w:sz w:val="20"/>
                <w:szCs w:val="20"/>
              </w:rPr>
              <w:t xml:space="preserve">$70B+</w:t>
            </w:r>
          </w:p>
        </w:tc>
        <w:tc>
          <w:tcPr>
            <w:tcW w:type="dxa" w:w="2200"/>
            <w:tcBorders>
              <w:top w:val="single" w:color="1a1a1a" w:sz="2"/>
              <w:left w:val="single" w:color="1a1a1a" w:sz="2"/>
              <w:bottom w:val="single" w:color="1a1a1a" w:sz="2"/>
              <w:right w:val="single" w:color="1a1a1a" w:sz="2"/>
            </w:tcBorders>
            <w:shd w:fill="FFF3E0" w:val="clear"/>
            <w:tcMar>
              <w:top w:type="dxa" w:w="80"/>
              <w:left w:type="dxa" w:w="120"/>
              <w:bottom w:type="dxa" w:w="80"/>
              <w:right w:type="dxa" w:w="120"/>
            </w:tcMar>
          </w:tcPr>
          <w:p>
            <w:r>
              <w:rPr>
                <w:rFonts w:ascii="Arial" w:cs="Arial" w:eastAsia="Arial" w:hAnsi="Arial"/>
                <w:b/>
                <w:bCs/>
                <w:sz w:val="20"/>
                <w:szCs w:val="20"/>
              </w:rPr>
              <w:t xml:space="preserve">100,000+ homes</w:t>
            </w:r>
          </w:p>
        </w:tc>
        <w:tc>
          <w:tcPr>
            <w:tcW w:type="dxa" w:w="1800"/>
            <w:tcBorders>
              <w:top w:val="single" w:color="1a1a1a" w:sz="2"/>
              <w:left w:val="single" w:color="1a1a1a" w:sz="2"/>
              <w:bottom w:val="single" w:color="1a1a1a" w:sz="2"/>
              <w:right w:val="single" w:color="1a1a1a" w:sz="2"/>
            </w:tcBorders>
            <w:shd w:fill="FFF3E0" w:val="clear"/>
            <w:tcMar>
              <w:top w:type="dxa" w:w="80"/>
              <w:left w:type="dxa" w:w="120"/>
              <w:bottom w:type="dxa" w:w="80"/>
              <w:right w:type="dxa" w:w="120"/>
            </w:tcMar>
          </w:tcPr>
          <w:p>
            <w:r>
              <w:rPr>
                <w:rFonts w:ascii="Arial" w:cs="Arial" w:eastAsia="Arial" w:hAnsi="Arial"/>
                <w:b/>
                <w:bCs/>
                <w:sz w:val="20"/>
                <w:szCs w:val="20"/>
              </w:rPr>
              <w:t xml:space="preserve">All procuring</w:t>
            </w:r>
          </w:p>
        </w:tc>
        <w:tc>
          <w:tcPr>
            <w:tcW w:type="dxa" w:w="1626"/>
            <w:tcBorders>
              <w:top w:val="single" w:color="1a1a1a" w:sz="2"/>
              <w:left w:val="single" w:color="1a1a1a" w:sz="2"/>
              <w:bottom w:val="single" w:color="1a1a1a" w:sz="2"/>
              <w:right w:val="single" w:color="1a1a1a" w:sz="2"/>
            </w:tcBorders>
            <w:shd w:fill="FFF3E0" w:val="clear"/>
            <w:tcMar>
              <w:top w:type="dxa" w:w="80"/>
              <w:left w:type="dxa" w:w="120"/>
              <w:bottom w:type="dxa" w:w="80"/>
              <w:right w:type="dxa" w:w="120"/>
            </w:tcMar>
          </w:tcPr>
          <w:p>
            <w:r>
              <w:rPr>
                <w:rFonts w:ascii="Arial" w:cs="Arial" w:eastAsia="Arial" w:hAnsi="Arial"/>
                <w:b/>
                <w:bCs/>
                <w:sz w:val="20"/>
                <w:szCs w:val="20"/>
              </w:rPr>
              <w:t xml:space="preserve">Every state</w:t>
            </w:r>
          </w:p>
        </w:tc>
      </w:tr>
    </w:tbl>
    <w:p>
      <w:pPr>
        <w:spacing w:after="80"/>
      </w:pPr>
    </w:p>
    <w:p>
      <w:pPr>
        <w:spacing w:after="160"/>
      </w:pPr>
      <w:r>
        <w:t xml:space="preserve">The modular construction market in Australia reached $11.8 billion in 2025 and is projected to reach $16.8 billion by 2034. But at only 5% of total construction, the sector must grow five-fold to meet the demand governments are creating. This growth cannot happen organically — it requires deliberate coordination of manufacturers, logistics, compliance and installation across state boundaries. That is the F2K role.</w:t>
      </w:r>
    </w:p>
    <w:p>
      <w:r>
        <w:br w:type="page"/>
      </w:r>
    </w:p>
    <w:p>
      <w:pPr>
        <w:pStyle w:val="Heading1"/>
      </w:pPr>
      <w:r>
        <w:t xml:space="preserve">3. State-by-State Procurement Pathways</w:t>
      </w:r>
    </w:p>
    <w:p>
      <w:pPr>
        <w:spacing w:after="160"/>
      </w:pPr>
      <w:r>
        <w:t xml:space="preserve">Each state has distinct procurement mechanisms, registration requirements and tender portals. F2K must register across all of them to access the full national pipeline. The following section maps the specific entry points for each jurisdiction.</w:t>
      </w:r>
    </w:p>
    <w:p>
      <w:pPr>
        <w:pStyle w:val="Heading2"/>
      </w:pPr>
      <w:r>
        <w:t xml:space="preserve">3.1 Western Australia</w:t>
      </w:r>
    </w:p>
    <w:p>
      <w:pPr>
        <w:spacing w:after="160"/>
      </w:pPr>
      <w:r>
        <w:rPr>
          <w:b/>
          <w:bCs/>
        </w:rPr>
        <w:t xml:space="preserve">Investment: </w:t>
      </w:r>
      <w:r>
        <w:t xml:space="preserve">$5.8 billion committed since 2021. 6,600+ social homes by 2028-29.</w:t>
      </w:r>
    </w:p>
    <w:p>
      <w:pPr>
        <w:spacing w:after="160"/>
      </w:pPr>
      <w:r>
        <w:rPr>
          <w:b/>
          <w:bCs/>
        </w:rPr>
        <w:t xml:space="preserve">Key Client: </w:t>
      </w:r>
      <w:r>
        <w:t xml:space="preserve">Department of Housing and Works (DHW), DevelopmentWA.</w:t>
      </w:r>
    </w:p>
    <w:p>
      <w:pPr>
        <w:spacing w:after="160"/>
      </w:pPr>
      <w:r>
        <w:rPr>
          <w:b/>
          <w:bCs/>
        </w:rPr>
        <w:t xml:space="preserve">Specification Framework: </w:t>
      </w:r>
      <w:r>
        <w:t xml:space="preserve">12-document suite effective July 2025 — design briefs, construction specifications, supplements. F2K has full mastery of this framework.</w:t>
      </w:r>
    </w:p>
    <w:p>
      <w:pPr>
        <w:spacing w:after="160"/>
      </w:pPr>
      <w:r>
        <w:rPr>
          <w:b/>
          <w:bCs/>
        </w:rPr>
        <w:t xml:space="preserve">Modular Programs: </w:t>
      </w:r>
      <w:r>
        <w:t xml:space="preserve">$50 million Housing Innovation Program (grants up to $3M). Keystart modular loan product for regional WA. DevelopmentWA delivering 81 homes across 6 sites.</w:t>
      </w:r>
    </w:p>
    <w:p>
      <w:pPr>
        <w:spacing w:after="160"/>
      </w:pPr>
      <w:r>
        <w:rPr>
          <w:b/>
          <w:bCs/>
        </w:rPr>
        <w:t xml:space="preserve">Procurement Portal: </w:t>
      </w:r>
      <w:r>
        <w:t xml:space="preserve">Tenders WA (www.tenders.wa.gov.au). DHW Head Contractor and Building Contractor panels.</w:t>
      </w:r>
    </w:p>
    <w:p>
      <w:pPr>
        <w:spacing w:after="160"/>
      </w:pPr>
      <w:r>
        <w:rPr>
          <w:b/>
          <w:bCs/>
        </w:rPr>
        <w:t xml:space="preserve">Aboriginal/Remote: </w:t>
      </w:r>
      <w:r>
        <w:t xml:space="preserve">Kimberley, Pilbara communities. Supplement 3 — Aboriginal Communities and North West Housing. Wind Regions C and D.</w:t>
      </w:r>
    </w:p>
    <w:p>
      <w:pPr>
        <w:spacing w:after="160"/>
      </w:pPr>
      <w:r>
        <w:rPr>
          <w:b/>
          <w:bCs/>
        </w:rPr>
        <w:t xml:space="preserve">Immediate Actions: </w:t>
      </w:r>
      <w:r>
        <w:t xml:space="preserve">Register on Tenders WA. Apply for Housing Innovation Program grants. Register interest with DevelopmentWA for upcoming social housing tenders at Ellenbrook, Byford, Brabham, Redcliffe, Gosnells.</w:t>
      </w:r>
    </w:p>
    <w:p>
      <w:pPr>
        <w:pStyle w:val="Heading2"/>
      </w:pPr>
      <w:r>
        <w:t xml:space="preserve">3.2 Northern Territory</w:t>
      </w:r>
    </w:p>
    <w:p>
      <w:pPr>
        <w:spacing w:after="160"/>
      </w:pPr>
      <w:r>
        <w:rPr>
          <w:b/>
          <w:bCs/>
        </w:rPr>
        <w:t xml:space="preserve">Investment: </w:t>
      </w:r>
      <w:r>
        <w:t xml:space="preserve">$4.0 billion over 10 years (joint Federal/NT).</w:t>
      </w:r>
    </w:p>
    <w:p>
      <w:pPr>
        <w:spacing w:after="160"/>
      </w:pPr>
      <w:r>
        <w:rPr>
          <w:b/>
          <w:bCs/>
        </w:rPr>
        <w:t xml:space="preserve">Key Client: </w:t>
      </w:r>
      <w:r>
        <w:t xml:space="preserve">NT Department of Territory Families, Housing and Communities; Aboriginal Housing NT (AHNT); National Indigenous Australians Agency (NIAA).</w:t>
      </w:r>
    </w:p>
    <w:p>
      <w:pPr>
        <w:spacing w:after="160"/>
      </w:pPr>
      <w:r>
        <w:rPr>
          <w:b/>
          <w:bCs/>
        </w:rPr>
        <w:t xml:space="preserve">Program: </w:t>
      </w:r>
      <w:r>
        <w:t xml:space="preserve">Our Community. Our Future. Our Homes. 2,700 new homes across 73 remote communities and 27 town camps. Record 222 houses delivered 2024-25.</w:t>
      </w:r>
    </w:p>
    <w:p>
      <w:pPr>
        <w:spacing w:after="160"/>
      </w:pPr>
      <w:r>
        <w:rPr>
          <w:b/>
          <w:bCs/>
        </w:rPr>
        <w:t xml:space="preserve">Delivery Model: </w:t>
      </w:r>
      <w:r>
        <w:t xml:space="preserve">Modular construction already the primary delivery method. 42% Aboriginal employment target. Contracts through Joint Steering Committee for Remote Housing NT.</w:t>
      </w:r>
    </w:p>
    <w:p>
      <w:pPr>
        <w:spacing w:after="160"/>
      </w:pPr>
      <w:r>
        <w:rPr>
          <w:b/>
          <w:bCs/>
        </w:rPr>
        <w:t xml:space="preserve">Procurement Portal: </w:t>
      </w:r>
      <w:r>
        <w:t xml:space="preserve">NT Government Quotations and Tenders Online (qtol.nt.gov.au).</w:t>
      </w:r>
    </w:p>
    <w:p>
      <w:pPr>
        <w:spacing w:after="160"/>
      </w:pPr>
      <w:r>
        <w:rPr>
          <w:b/>
          <w:bCs/>
        </w:rPr>
        <w:t xml:space="preserve">Aboriginal/Remote: </w:t>
      </w:r>
      <w:r>
        <w:t xml:space="preserve">Entire program is Aboriginal housing. All communities. Partnership Agreement with four Land Councils.</w:t>
      </w:r>
    </w:p>
    <w:p>
      <w:pPr>
        <w:spacing w:after="160"/>
      </w:pPr>
      <w:r>
        <w:rPr>
          <w:b/>
          <w:bCs/>
        </w:rPr>
        <w:t xml:space="preserve">Immediate Actions: </w:t>
      </w:r>
      <w:r>
        <w:t xml:space="preserve">Register on NT Quotations and Tenders Online. Engage with Aboriginal Housing NT. Build relationships with Territory Alliance and existing head contractors. Target upcoming construction contracts for remote community housing.</w:t>
      </w:r>
    </w:p>
    <w:p>
      <w:pPr>
        <w:pStyle w:val="Heading2"/>
      </w:pPr>
      <w:r>
        <w:t xml:space="preserve">3.3 Queensland</w:t>
      </w:r>
    </w:p>
    <w:p>
      <w:pPr>
        <w:spacing w:after="160"/>
      </w:pPr>
      <w:r>
        <w:rPr>
          <w:b/>
          <w:bCs/>
        </w:rPr>
        <w:t xml:space="preserve">Investment: </w:t>
      </w:r>
      <w:r>
        <w:t xml:space="preserve">$8.1 billion. 53,500 social and community homes by 2044. $500M/year baseline from 2029-30.</w:t>
      </w:r>
    </w:p>
    <w:p>
      <w:pPr>
        <w:spacing w:after="160"/>
      </w:pPr>
      <w:r>
        <w:rPr>
          <w:b/>
          <w:bCs/>
        </w:rPr>
        <w:t xml:space="preserve">Key Client: </w:t>
      </w:r>
      <w:r>
        <w:t xml:space="preserve">Department of Housing and Public Works; QBuild; Homes for Queenslanders.</w:t>
      </w:r>
    </w:p>
    <w:p>
      <w:pPr>
        <w:spacing w:after="160"/>
      </w:pPr>
      <w:r>
        <w:rPr>
          <w:b/>
          <w:bCs/>
        </w:rPr>
        <w:t xml:space="preserve">MMC Program: </w:t>
      </w:r>
      <w:r>
        <w:t xml:space="preserve">QBuild Modern Methods of Construction program with 11 suppliers on Standing Offer Arrangement: Ausco, Fleetwood, Hutchies Modular, Modscape, Blok Modular, Eco Cottages, James Engineering, ModnPods, Saltair Modular, Volo Modular, WestBuilt Homes.</w:t>
      </w:r>
    </w:p>
    <w:p>
      <w:pPr>
        <w:spacing w:after="160"/>
      </w:pPr>
      <w:r>
        <w:rPr>
          <w:b/>
          <w:bCs/>
        </w:rPr>
        <w:t xml:space="preserve">Facilities: </w:t>
      </w:r>
      <w:r>
        <w:t xml:space="preserve">Rapid Assembly and Completion Centres (RAACs) at Eagle Farm (Brisbane), Wacol (Brisbane), and Portsmith (Cairns).</w:t>
      </w:r>
    </w:p>
    <w:p>
      <w:pPr>
        <w:spacing w:after="160"/>
      </w:pPr>
      <w:r>
        <w:rPr>
          <w:b/>
          <w:bCs/>
        </w:rPr>
        <w:t xml:space="preserve">Procurement: </w:t>
      </w:r>
      <w:r>
        <w:t xml:space="preserve">QBuild registration at register.hpw.qld.gov.au. QTenders (qtenders.epw.qld.gov.au). Prequalification System for contracts over $1M. Queensland Procurement Policy 2026 effective 1 January 2026.</w:t>
      </w:r>
    </w:p>
    <w:p>
      <w:pPr>
        <w:spacing w:after="160"/>
      </w:pPr>
      <w:r>
        <w:rPr>
          <w:b/>
          <w:bCs/>
        </w:rPr>
        <w:t xml:space="preserve">Aboriginal/Remote: </w:t>
      </w:r>
      <w:r>
        <w:t xml:space="preserve">Far North Queensland, Cape York, western Queensland communities. Aboriginal and Torres Strait Islander cultural protocols required. Supply Nation registration advantageous.</w:t>
      </w:r>
    </w:p>
    <w:p>
      <w:pPr>
        <w:spacing w:after="160"/>
      </w:pPr>
      <w:r>
        <w:rPr>
          <w:b/>
          <w:bCs/>
        </w:rPr>
        <w:t xml:space="preserve">Immediate Actions: </w:t>
      </w:r>
      <w:r>
        <w:t xml:space="preserve">Register with QBuild online. Apply for Prequalification System. Monitor QTenders for MMC opportunities. Engage with QBuild Strategic Sourcing team. Explore Standing Offer Arrangement application for next intake.</w:t>
      </w:r>
    </w:p>
    <w:p>
      <w:r>
        <w:br w:type="page"/>
      </w:r>
    </w:p>
    <w:p>
      <w:pPr>
        <w:pStyle w:val="Heading2"/>
      </w:pPr>
      <w:r>
        <w:t xml:space="preserve">3.4 New South Wales</w:t>
      </w:r>
    </w:p>
    <w:p>
      <w:pPr>
        <w:spacing w:after="160"/>
      </w:pPr>
      <w:r>
        <w:rPr>
          <w:b/>
          <w:bCs/>
        </w:rPr>
        <w:t xml:space="preserve">Investment: </w:t>
      </w:r>
      <w:r>
        <w:t xml:space="preserve">$6.6 billion. Homes for NSW Strategy 2025-2035.</w:t>
      </w:r>
    </w:p>
    <w:p>
      <w:pPr>
        <w:spacing w:after="160"/>
      </w:pPr>
      <w:r>
        <w:rPr>
          <w:b/>
          <w:bCs/>
        </w:rPr>
        <w:t xml:space="preserve">Key Client: </w:t>
      </w:r>
      <w:r>
        <w:t xml:space="preserve">Homes NSW (formerly Land and Housing Corporation).</w:t>
      </w:r>
    </w:p>
    <w:p>
      <w:pPr>
        <w:spacing w:after="160"/>
      </w:pPr>
      <w:r>
        <w:rPr>
          <w:b/>
          <w:bCs/>
        </w:rPr>
        <w:t xml:space="preserve">MMC Program: </w:t>
      </w:r>
      <w:r>
        <w:t xml:space="preserve">SCM5862 Modern Methods of Construction Procurement List — open until 1 May 2027. Currently 28 suppliers registered. Categories: pre-manufactured 3D volumetric/modular; 2D kit-of-parts; pre-manufactured components; additive manufacturing.</w:t>
      </w:r>
    </w:p>
    <w:p>
      <w:pPr>
        <w:spacing w:after="160"/>
      </w:pPr>
      <w:r>
        <w:rPr>
          <w:b/>
          <w:bCs/>
        </w:rPr>
        <w:t xml:space="preserve">Registration: </w:t>
      </w:r>
      <w:r>
        <w:t xml:space="preserve">Buy NSW Supplier Hub (buy.nsw.gov.au). Also: SCM5861 Housing Portfolio Residential Building Works up to $9M. SCM100002 Procurement List for Construction Services over $9M.</w:t>
      </w:r>
    </w:p>
    <w:p>
      <w:pPr>
        <w:spacing w:after="160"/>
      </w:pPr>
      <w:r>
        <w:rPr>
          <w:b/>
          <w:bCs/>
        </w:rPr>
        <w:t xml:space="preserve">R&amp;D Program: </w:t>
      </w:r>
      <w:r>
        <w:t xml:space="preserve">Partnership with Building 4.0 CRC. System 600 standardised design and assembly platform — open-source, collaborative, multi-supplier.</w:t>
      </w:r>
    </w:p>
    <w:p>
      <w:pPr>
        <w:spacing w:after="160"/>
      </w:pPr>
      <w:r>
        <w:rPr>
          <w:b/>
          <w:bCs/>
        </w:rPr>
        <w:t xml:space="preserve">Building Reform: </w:t>
      </w:r>
      <w:r>
        <w:t xml:space="preserve">Building Productivity Reforms to NSW Parliament in 2026 — removing barriers to prefab and modular housing approvals.</w:t>
      </w:r>
    </w:p>
    <w:p>
      <w:pPr>
        <w:spacing w:after="160"/>
      </w:pPr>
      <w:r>
        <w:rPr>
          <w:b/>
          <w:bCs/>
        </w:rPr>
        <w:t xml:space="preserve">Aboriginal/Remote: </w:t>
      </w:r>
      <w:r>
        <w:t xml:space="preserve">Western NSW, Northern Rivers. Homes for NSW Strategy names Aboriginal communities as priority cohort.</w:t>
      </w:r>
    </w:p>
    <w:p>
      <w:pPr>
        <w:spacing w:after="160"/>
      </w:pPr>
      <w:r>
        <w:rPr>
          <w:b/>
          <w:bCs/>
        </w:rPr>
        <w:t xml:space="preserve">Immediate Actions: </w:t>
      </w:r>
      <w:r>
        <w:t xml:space="preserve">Register on Buy NSW Supplier Hub. Apply to SCM5862 MMC Procurement List immediately (open rolling). Apply to SCM5861 and SCM100002. Engage with Homes NSW MMC team at homesnsw-hp-mmc@homes.nsw.gov.au. Explore Building 4.0 CRC partnership.</w:t>
      </w:r>
    </w:p>
    <w:p>
      <w:pPr>
        <w:pStyle w:val="Heading2"/>
      </w:pPr>
      <w:r>
        <w:t xml:space="preserve">3.5 Victoria</w:t>
      </w:r>
    </w:p>
    <w:p>
      <w:pPr>
        <w:spacing w:after="160"/>
      </w:pPr>
      <w:r>
        <w:rPr>
          <w:b/>
          <w:bCs/>
        </w:rPr>
        <w:t xml:space="preserve">Investment: </w:t>
      </w:r>
      <w:r>
        <w:t xml:space="preserve">$5.3 billion+ Big Housing Build.</w:t>
      </w:r>
    </w:p>
    <w:p>
      <w:pPr>
        <w:spacing w:after="160"/>
      </w:pPr>
      <w:r>
        <w:rPr>
          <w:b/>
          <w:bCs/>
        </w:rPr>
        <w:t xml:space="preserve">Key Client: </w:t>
      </w:r>
      <w:r>
        <w:t xml:space="preserve">Homes Victoria; Department of Families, Fairness and Housing.</w:t>
      </w:r>
    </w:p>
    <w:p>
      <w:pPr>
        <w:spacing w:after="160"/>
      </w:pPr>
      <w:r>
        <w:rPr>
          <w:b/>
          <w:bCs/>
        </w:rPr>
        <w:t xml:space="preserve">MMC: </w:t>
      </w:r>
      <w:r>
        <w:t xml:space="preserve">$50M Future of Housing Construction Centre of Excellence at Melbourne Polytechnic. Victorian Prefabricated Construction Directory (24 firms). Homes for Aboriginal Victorians Round — 93 projects, 348 homes, 1,800 jobs.</w:t>
      </w:r>
    </w:p>
    <w:p>
      <w:pPr>
        <w:spacing w:after="160"/>
      </w:pPr>
      <w:r>
        <w:rPr>
          <w:b/>
          <w:bCs/>
        </w:rPr>
        <w:t xml:space="preserve">Procurement: </w:t>
      </w:r>
      <w:r>
        <w:t xml:space="preserve">Buying for Victoria registers (buyingfor.vic.gov.au). Construction Supplier Register — open, no closing date. Apply at any time.</w:t>
      </w:r>
    </w:p>
    <w:p>
      <w:pPr>
        <w:spacing w:after="160"/>
      </w:pPr>
      <w:r>
        <w:rPr>
          <w:b/>
          <w:bCs/>
        </w:rPr>
        <w:t xml:space="preserve">Aboriginal: </w:t>
      </w:r>
      <w:r>
        <w:t xml:space="preserve">Aboriginal Housing Victoria partnership. Rumbalara Housing (Shepparton). Regional Victoria priority areas.</w:t>
      </w:r>
    </w:p>
    <w:p>
      <w:pPr>
        <w:spacing w:after="160"/>
      </w:pPr>
      <w:r>
        <w:rPr>
          <w:b/>
          <w:bCs/>
        </w:rPr>
        <w:t xml:space="preserve">Immediate Actions: </w:t>
      </w:r>
      <w:r>
        <w:t xml:space="preserve">Register on Buying for Victoria Construction Supplier Register. Apply to Victorian Prefabricated Construction Directory. Engage with Homes Victoria procurement team. Monitor tenders.victoria.gov.au.</w:t>
      </w:r>
    </w:p>
    <w:p>
      <w:pPr>
        <w:pStyle w:val="Heading2"/>
      </w:pPr>
      <w:r>
        <w:t xml:space="preserve">3.6 South Australia</w:t>
      </w:r>
    </w:p>
    <w:p>
      <w:pPr>
        <w:spacing w:after="160"/>
      </w:pPr>
      <w:r>
        <w:rPr>
          <w:b/>
          <w:bCs/>
        </w:rPr>
        <w:t xml:space="preserve">Investment: </w:t>
      </w:r>
      <w:r>
        <w:t xml:space="preserve">Active pipeline. Social Housing Accelerator Payment.</w:t>
      </w:r>
    </w:p>
    <w:p>
      <w:pPr>
        <w:spacing w:after="160"/>
      </w:pPr>
      <w:r>
        <w:rPr>
          <w:b/>
          <w:bCs/>
        </w:rPr>
        <w:t xml:space="preserve">Key Client: </w:t>
      </w:r>
      <w:r>
        <w:t xml:space="preserve">SA Housing Trust; Renewal SA Office for Regional Housing.</w:t>
      </w:r>
    </w:p>
    <w:p>
      <w:pPr>
        <w:spacing w:after="160"/>
      </w:pPr>
      <w:r>
        <w:rPr>
          <w:b/>
          <w:bCs/>
        </w:rPr>
        <w:t xml:space="preserve">Modular: </w:t>
      </w:r>
      <w:r>
        <w:t xml:space="preserve">120 turn-key modular homes tendered July 2025. SipForm SIPs pilot (Perth-manufactured panels). 170+ regional homes under construction. $500M Pre-Sale Guarantee Fund announced.</w:t>
      </w:r>
    </w:p>
    <w:p>
      <w:pPr>
        <w:spacing w:after="160"/>
      </w:pPr>
      <w:r>
        <w:rPr>
          <w:b/>
          <w:bCs/>
        </w:rPr>
        <w:t xml:space="preserve">Procurement: </w:t>
      </w:r>
      <w:r>
        <w:t xml:space="preserve">SA Tenders and Contracts (tenders.sa.gov.au).</w:t>
      </w:r>
    </w:p>
    <w:p>
      <w:pPr>
        <w:spacing w:after="160"/>
      </w:pPr>
      <w:r>
        <w:rPr>
          <w:b/>
          <w:bCs/>
        </w:rPr>
        <w:t xml:space="preserve">Aboriginal/Remote: </w:t>
      </w:r>
      <w:r>
        <w:t xml:space="preserve">APY Lands, Far North SA, Ceduna, Port Augusta Transitional Accommodation Centres.</w:t>
      </w:r>
    </w:p>
    <w:p>
      <w:pPr>
        <w:spacing w:after="160"/>
      </w:pPr>
      <w:r>
        <w:rPr>
          <w:b/>
          <w:bCs/>
        </w:rPr>
        <w:t xml:space="preserve">Immediate Actions: </w:t>
      </w:r>
      <w:r>
        <w:t xml:space="preserve">Register on SA Tenders portal. Monitor for next modular housing tender round. Engage with Renewal SA Office for Regional Housing.</w:t>
      </w:r>
    </w:p>
    <w:p>
      <w:pPr>
        <w:pStyle w:val="Heading2"/>
      </w:pPr>
      <w:r>
        <w:t xml:space="preserve">3.7 Tasmania</w:t>
      </w:r>
    </w:p>
    <w:p>
      <w:pPr>
        <w:spacing w:after="160"/>
      </w:pPr>
      <w:r>
        <w:rPr>
          <w:b/>
          <w:bCs/>
        </w:rPr>
        <w:t xml:space="preserve">Investment: </w:t>
      </w:r>
      <w:r>
        <w:t xml:space="preserve">Active pipeline. 200+ modular homes target over 4 years.</w:t>
      </w:r>
    </w:p>
    <w:p>
      <w:pPr>
        <w:spacing w:after="160"/>
      </w:pPr>
      <w:r>
        <w:rPr>
          <w:b/>
          <w:bCs/>
        </w:rPr>
        <w:t xml:space="preserve">Key Client: </w:t>
      </w:r>
      <w:r>
        <w:t xml:space="preserve">Homes Tasmania; Department of Premier and Cabinet.</w:t>
      </w:r>
    </w:p>
    <w:p>
      <w:pPr>
        <w:spacing w:after="160"/>
      </w:pPr>
      <w:r>
        <w:rPr>
          <w:b/>
          <w:bCs/>
        </w:rPr>
        <w:t xml:space="preserve">Modular: </w:t>
      </w:r>
      <w:r>
        <w:t xml:space="preserve">Podmatrix delivering modular units in Burnie. Small market with limited MMC competition.</w:t>
      </w:r>
    </w:p>
    <w:p>
      <w:pPr>
        <w:spacing w:after="160"/>
      </w:pPr>
      <w:r>
        <w:rPr>
          <w:b/>
          <w:bCs/>
        </w:rPr>
        <w:t xml:space="preserve">Procurement: </w:t>
      </w:r>
      <w:r>
        <w:t xml:space="preserve">Tasmanian Government Purchasing (purchasing.tas.gov.au).</w:t>
      </w:r>
    </w:p>
    <w:p>
      <w:pPr>
        <w:spacing w:after="160"/>
      </w:pPr>
      <w:r>
        <w:rPr>
          <w:b/>
          <w:bCs/>
        </w:rPr>
        <w:t xml:space="preserve">Immediate Actions: </w:t>
      </w:r>
      <w:r>
        <w:t xml:space="preserve">Register on Tasmanian Government Purchasing portal. This is a low-competition add-on market for an integrator already operating nationally.</w:t>
      </w:r>
    </w:p>
    <w:p>
      <w:pPr>
        <w:pStyle w:val="Heading2"/>
      </w:pPr>
      <w:r>
        <w:t xml:space="preserve">3.8 Federal Programs</w:t>
      </w:r>
    </w:p>
    <w:p>
      <w:pPr>
        <w:spacing w:after="160"/>
      </w:pPr>
      <w:r>
        <w:rPr>
          <w:b/>
          <w:bCs/>
        </w:rPr>
        <w:t xml:space="preserve">Housing Australia Future Fund: </w:t>
      </w:r>
      <w:r>
        <w:t xml:space="preserve">Round 3 launched January 2026. 21,350 remaining homes to reach 40,000 target by mid-2029. Dedicated First Nations Stream with concierge service. Eligible applicants include registered community housing providers, charities, and local governments.</w:t>
      </w:r>
    </w:p>
    <w:p>
      <w:pPr>
        <w:spacing w:after="160"/>
      </w:pPr>
      <w:r>
        <w:rPr>
          <w:b/>
          <w:bCs/>
        </w:rPr>
        <w:t xml:space="preserve">Social Housing Accelerator: </w:t>
      </w:r>
      <w:r>
        <w:t xml:space="preserve">$2 billion already distributed to states. 292 of 427 First Nations dwellings completed or underway.</w:t>
      </w:r>
    </w:p>
    <w:p>
      <w:pPr>
        <w:spacing w:after="160"/>
      </w:pPr>
      <w:r>
        <w:rPr>
          <w:b/>
          <w:bCs/>
        </w:rPr>
        <w:t xml:space="preserve">MMC Funding: </w:t>
      </w:r>
      <w:r>
        <w:t xml:space="preserve">$54M for MMC development. $49.3M for state MMC programs. $4.7M for voluntary national certification.</w:t>
      </w:r>
    </w:p>
    <w:p>
      <w:pPr>
        <w:spacing w:after="160"/>
      </w:pPr>
      <w:r>
        <w:rPr>
          <w:b/>
          <w:bCs/>
        </w:rPr>
        <w:t xml:space="preserve">AusTender: </w:t>
      </w:r>
      <w:r>
        <w:t xml:space="preserve">Federal procurement portal (tenders.gov.au). Defence Infrastructure Panel opportunities. NAIF funding for Northern Australia projects.</w:t>
      </w:r>
    </w:p>
    <w:p>
      <w:pPr>
        <w:spacing w:after="160"/>
      </w:pPr>
      <w:r>
        <w:rPr>
          <w:b/>
          <w:bCs/>
        </w:rPr>
        <w:t xml:space="preserve">Immediate Actions: </w:t>
      </w:r>
      <w:r>
        <w:t xml:space="preserve">Register on AusTender. Partner with registered Community Housing Providers for HAFF Round 3 applications. Engage with prefabAUS for industry advocacy and certification alignment.</w:t>
      </w:r>
    </w:p>
    <w:p>
      <w:r>
        <w:br w:type="page"/>
      </w:r>
    </w:p>
    <w:p>
      <w:pPr>
        <w:pStyle w:val="Heading1"/>
      </w:pPr>
      <w:r>
        <w:t xml:space="preserve">4. The F2K Value Proposition</w:t>
      </w:r>
    </w:p>
    <w:p>
      <w:pPr>
        <w:pStyle w:val="Heading2"/>
      </w:pPr>
      <w:r>
        <w:t xml:space="preserve">4.1 Why an Impartial Integrator?</w:t>
      </w:r>
    </w:p>
    <w:p>
      <w:pPr>
        <w:spacing w:after="160"/>
      </w:pPr>
      <w:r>
        <w:t xml:space="preserve">Every state has identified modular construction as the solution. Every state has committed billions. But the delivery bottleneck remains because:</w:t>
      </w:r>
    </w:p>
    <w:p>
      <w:pPr>
        <w:pStyle w:val="ListParagraph"/>
        <w:numPr>
          <w:ilvl w:val="0"/>
          <w:numId w:val="2"/>
        </w:numPr>
        <w:spacing w:after="80"/>
      </w:pPr>
      <w:r>
        <w:t xml:space="preserve">Manufacturers are specialists, not project managers. They build components, not complete homes.</w:t>
      </w:r>
    </w:p>
    <w:p>
      <w:pPr>
        <w:pStyle w:val="ListParagraph"/>
        <w:numPr>
          <w:ilvl w:val="0"/>
          <w:numId w:val="2"/>
        </w:numPr>
        <w:spacing w:after="80"/>
      </w:pPr>
      <w:r>
        <w:t xml:space="preserve">Builders are state-based, not national. They cannot access cross-border economies of scale.</w:t>
      </w:r>
    </w:p>
    <w:p>
      <w:pPr>
        <w:pStyle w:val="ListParagraph"/>
        <w:numPr>
          <w:ilvl w:val="0"/>
          <w:numId w:val="2"/>
        </w:numPr>
        <w:spacing w:after="80"/>
      </w:pPr>
      <w:r>
        <w:t xml:space="preserve">State programs operate in silos. The same manufacturer qualified in QLD must re-qualify in NSW, WA, and VIC separately.</w:t>
      </w:r>
    </w:p>
    <w:p>
      <w:pPr>
        <w:pStyle w:val="ListParagraph"/>
        <w:numPr>
          <w:ilvl w:val="0"/>
          <w:numId w:val="2"/>
        </w:numPr>
        <w:spacing w:after="80"/>
      </w:pPr>
      <w:r>
        <w:t xml:space="preserve">No entity currently coordinates the full chain: specification compliance, manufacturer selection, fabrication QA, transport logistics, site preparation, installation, and commissioning.</w:t>
      </w:r>
    </w:p>
    <w:p>
      <w:pPr>
        <w:pStyle w:val="ListParagraph"/>
        <w:numPr>
          <w:ilvl w:val="0"/>
          <w:numId w:val="2"/>
        </w:numPr>
        <w:spacing w:after="120"/>
      </w:pPr>
      <w:r>
        <w:t xml:space="preserve">Offshore manufacturers (Asia) have capacity but lack NCC compliance knowledge and Australian Standards expertise.</w:t>
      </w:r>
    </w:p>
    <w:p>
      <w:pPr>
        <w:spacing w:after="160"/>
      </w:pPr>
      <w:r>
        <w:t xml:space="preserve">F2K fills this gap. Not as a manufacturer. Not as a builder. As the impartial integrator who finds the best-fit solution for every use case and coordinates the entire supply chain from factory to key handover.</w:t>
      </w:r>
    </w:p>
    <w:p>
      <w:pPr>
        <w:pStyle w:val="Heading2"/>
      </w:pPr>
      <w:r>
        <w:t xml:space="preserve">4.2 Best-Fit, Not One-Size-Fits-All</w:t>
      </w:r>
    </w:p>
    <w:p>
      <w:pPr>
        <w:spacing w:after="160"/>
      </w:pPr>
      <w:r>
        <w:t xml:space="preserve">Different housing typologies require different solutions: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400"/>
        <w:gridCol w:w="2426"/>
      </w:tblGrid>
      <w:tr>
        <w:tc>
          <w:tcPr>
            <w:tcW w:type="dxa" w:w="22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Use Case</w:t>
            </w:r>
          </w:p>
        </w:tc>
        <w:tc>
          <w:tcPr>
            <w:tcW w:type="dxa" w:w="20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Location</w:t>
            </w:r>
          </w:p>
        </w:tc>
        <w:tc>
          <w:tcPr>
            <w:tcW w:type="dxa" w:w="24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Best-Fit Method</w:t>
            </w:r>
          </w:p>
        </w:tc>
        <w:tc>
          <w:tcPr>
            <w:tcW w:type="dxa" w:w="2426"/>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Manufacturer Type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Cyclone-rated social housing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Kimberley, Pilbara, FNQ, Top End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Volumetric modular with steel frame</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Australian + Asian hybrid</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Remote Aboriginal community</w:t>
            </w:r>
          </w:p>
        </w:tc>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NT, WA NW, Cape York</w:t>
            </w:r>
          </w:p>
        </w:tc>
        <w:tc>
          <w:tcPr>
            <w:tcW w:type="dxa" w:w="24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Modular, designed for relocation</w:t>
            </w:r>
          </w:p>
        </w:tc>
        <w:tc>
          <w:tcPr>
            <w:tcW w:type="dxa" w:w="24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Australian factory, local install</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Metro social infill (Class 1a)</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Perth, Sydney, Melbourne, Brisbane</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2D kit-of-parts steel frame</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Australian fabricator</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Apartment (Class 2/3)</w:t>
            </w:r>
          </w:p>
        </w:tc>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Urban centres</w:t>
            </w:r>
          </w:p>
        </w:tc>
        <w:tc>
          <w:tcPr>
            <w:tcW w:type="dxa" w:w="24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Prefab pods + structural frame</w:t>
            </w:r>
          </w:p>
        </w:tc>
        <w:tc>
          <w:tcPr>
            <w:tcW w:type="dxa" w:w="24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Mixed Australian/Asian</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Regional GROH replacement</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All regional WA, QLD, NT</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Flat-pack SIPs or steel frame</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Cross-state supply</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Small/secondary dwelling</w:t>
            </w:r>
          </w:p>
        </w:tc>
        <w:tc>
          <w:tcPr>
            <w:tcW w:type="dxa" w:w="20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All metro areas</w:t>
            </w:r>
          </w:p>
        </w:tc>
        <w:tc>
          <w:tcPr>
            <w:tcW w:type="dxa" w:w="24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Volumetric complete module</w:t>
            </w:r>
          </w:p>
        </w:tc>
        <w:tc>
          <w:tcPr>
            <w:tcW w:type="dxa" w:w="2426"/>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Australian factory</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Disability/specialist housing</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National</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Accessible modular to SDA</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Specialist Australian</w:t>
            </w:r>
          </w:p>
        </w:tc>
      </w:tr>
    </w:tbl>
    <w:p>
      <w:r>
        <w:br w:type="page"/>
      </w:r>
    </w:p>
    <w:p>
      <w:pPr>
        <w:pStyle w:val="Heading2"/>
      </w:pPr>
      <w:r>
        <w:t xml:space="preserve">4.3 Cross-State Economies of Scale</w:t>
      </w:r>
    </w:p>
    <w:p>
      <w:pPr>
        <w:spacing w:after="160"/>
      </w:pPr>
      <w:r>
        <w:t xml:space="preserve">The central advantage of a national integrator model is that manufacturers qualified for one state program can serve multiple programs simultaneously:</w:t>
      </w:r>
    </w:p>
    <w:p>
      <w:pPr>
        <w:pStyle w:val="ListParagraph"/>
        <w:numPr>
          <w:ilvl w:val="0"/>
          <w:numId w:val="2"/>
        </w:numPr>
        <w:spacing w:after="80"/>
      </w:pPr>
      <w:r>
        <w:t xml:space="preserve">An Asian modular manufacturer building cyclone-rated units for WA’s Kimberley can supply identical units to NT remote communities and Far North Queensland.</w:t>
      </w:r>
    </w:p>
    <w:p>
      <w:pPr>
        <w:pStyle w:val="ListParagraph"/>
        <w:numPr>
          <w:ilvl w:val="0"/>
          <w:numId w:val="2"/>
        </w:numPr>
        <w:spacing w:after="80"/>
      </w:pPr>
      <w:r>
        <w:t xml:space="preserve">An Australian steel frame fabricator supplying NASH-2 compliant framing for Perth metro can supply Adelaide, regional Victoria, and western NSW.</w:t>
      </w:r>
    </w:p>
    <w:p>
      <w:pPr>
        <w:pStyle w:val="ListParagraph"/>
        <w:numPr>
          <w:ilvl w:val="0"/>
          <w:numId w:val="2"/>
        </w:numPr>
        <w:spacing w:after="80"/>
      </w:pPr>
      <w:r>
        <w:t xml:space="preserve">A prefab bathroom pod manufacturer qualified under System 600 in NSW can supply Victorian apartment projects.</w:t>
      </w:r>
    </w:p>
    <w:p>
      <w:pPr>
        <w:pStyle w:val="ListParagraph"/>
        <w:numPr>
          <w:ilvl w:val="0"/>
          <w:numId w:val="2"/>
        </w:numPr>
        <w:spacing w:after="120"/>
      </w:pPr>
      <w:r>
        <w:t xml:space="preserve">SA is already using Perth-manufactured SipForm panels, proving cross-border supply chains work.</w:t>
      </w:r>
    </w:p>
    <w:p>
      <w:pPr>
        <w:spacing w:after="160"/>
      </w:pPr>
      <w:r>
        <w:t xml:space="preserve">F2K aggregates demand across states to give manufacturers the volume certainty needed to invest in capacity. This is how modular goes from 5% to 25% of the construction market.</w:t>
      </w:r>
    </w:p>
    <w:p>
      <w:pPr>
        <w:pStyle w:val="Heading1"/>
      </w:pPr>
      <w:r>
        <w:t xml:space="preserve">5. National Registration Action Plan</w:t>
      </w:r>
    </w:p>
    <w:p>
      <w:pPr>
        <w:spacing w:after="160"/>
      </w:pPr>
      <w:r>
        <w:t xml:space="preserve">The following registrations should be completed within 90 days to position F2K across all jurisdictions: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500"/>
        <w:gridCol w:w="2200"/>
        <w:gridCol w:w="1800"/>
        <w:gridCol w:w="1826"/>
      </w:tblGrid>
      <w:tr>
        <w:tc>
          <w:tcPr>
            <w:tcW w:type="dxa" w:w="7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w:t>
            </w:r>
          </w:p>
        </w:tc>
        <w:tc>
          <w:tcPr>
            <w:tcW w:type="dxa" w:w="25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Registration</w:t>
            </w:r>
          </w:p>
        </w:tc>
        <w:tc>
          <w:tcPr>
            <w:tcW w:type="dxa" w:w="22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Portal</w:t>
            </w:r>
          </w:p>
        </w:tc>
        <w:tc>
          <w:tcPr>
            <w:tcW w:type="dxa" w:w="1800"/>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Status</w:t>
            </w:r>
          </w:p>
        </w:tc>
        <w:tc>
          <w:tcPr>
            <w:tcW w:type="dxa" w:w="1826"/>
            <w:tcBorders>
              <w:top w:val="single" w:color="1a1a1a" w:sz="2"/>
              <w:left w:val="single" w:color="1a1a1a" w:sz="2"/>
              <w:bottom w:val="single" w:color="1a1a1a" w:sz="2"/>
              <w:right w:val="single" w:color="1a1a1a" w:sz="2"/>
            </w:tcBorders>
            <w:shd w:fill="1B2A4A" w:val="clear"/>
            <w:tcMar>
              <w:top w:type="dxa" w:w="80"/>
              <w:left w:type="dxa" w:w="120"/>
              <w:bottom w:type="dxa" w:w="80"/>
              <w:right w:type="dxa" w:w="120"/>
            </w:tcMar>
            <w:vAlign w:val="center"/>
          </w:tcPr>
          <w:p>
            <w:r>
              <w:rPr>
                <w:rFonts w:ascii="Arial" w:cs="Arial" w:eastAsia="Arial" w:hAnsi="Arial"/>
                <w:b/>
                <w:bCs/>
                <w:color w:val="FFFFFF"/>
                <w:sz w:val="18"/>
                <w:szCs w:val="18"/>
              </w:rPr>
              <w:t xml:space="preserve">Priority</w:t>
            </w:r>
          </w:p>
        </w:tc>
      </w:tr>
      <w:tr>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NSW SCM5862 MMC Procurement List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buy.nsw.gov.au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 until May 2027</w:t>
            </w:r>
          </w:p>
        </w:tc>
        <w:tc>
          <w:tcPr>
            <w:tcW w:type="dxa" w:w="18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sz w:val="18"/>
                <w:szCs w:val="18"/>
              </w:rPr>
              <w:t xml:space="preserve">CRITICAL</w:t>
            </w:r>
          </w:p>
        </w:tc>
      </w:tr>
      <w:tr>
        <w:tc>
          <w:tcPr>
            <w:tcW w:type="dxa" w:w="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2</w:t>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NSW SCM5861 Housing Portfolio &lt;$9M</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buy.nsw.gov.au</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sz w:val="18"/>
                <w:szCs w:val="18"/>
              </w:rPr>
              <w:t xml:space="preserve">CRITICAL</w:t>
            </w:r>
          </w:p>
        </w:tc>
      </w:tr>
      <w:tr>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QBuild Supplier Registration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register.hpw.qld.gov.au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 (2yr cycle)</w:t>
            </w:r>
          </w:p>
        </w:tc>
        <w:tc>
          <w:tcPr>
            <w:tcW w:type="dxa" w:w="18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sz w:val="18"/>
                <w:szCs w:val="18"/>
              </w:rPr>
              <w:t xml:space="preserve">CRITICAL</w:t>
            </w:r>
          </w:p>
        </w:tc>
      </w:tr>
      <w:tr>
        <w:tc>
          <w:tcPr>
            <w:tcW w:type="dxa" w:w="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4</w:t>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QLD Prequalification System &gt;$1M</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QBuild portal</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sz w:val="18"/>
                <w:szCs w:val="18"/>
              </w:rPr>
              <w:t xml:space="preserve">CRITICAL</w:t>
            </w:r>
          </w:p>
        </w:tc>
      </w:tr>
      <w:tr>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Tenders WA Registration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tenders.wa.gov.au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sz w:val="18"/>
                <w:szCs w:val="18"/>
              </w:rPr>
              <w:t xml:space="preserve">CRITICAL</w:t>
            </w:r>
          </w:p>
        </w:tc>
      </w:tr>
      <w:tr>
        <w:tc>
          <w:tcPr>
            <w:tcW w:type="dxa" w:w="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6</w:t>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WA Housing Innovation Program</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DHW</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Grants to $3M</w:t>
            </w:r>
          </w:p>
        </w:tc>
        <w:tc>
          <w:tcPr>
            <w:tcW w:type="dxa" w:w="1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w:t>
            </w:r>
          </w:p>
        </w:tc>
      </w:tr>
      <w:tr>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NT Quotations &amp; Tenders Online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qtol.nt.gov.au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sz w:val="18"/>
                <w:szCs w:val="18"/>
              </w:rPr>
              <w:t xml:space="preserve">CRITICAL</w:t>
            </w:r>
          </w:p>
        </w:tc>
      </w:tr>
      <w:tr>
        <w:tc>
          <w:tcPr>
            <w:tcW w:type="dxa" w:w="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8</w:t>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VIC Construction Supplier Register</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buyingfor.vic.gov.au</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Open (no close)</w:t>
            </w:r>
          </w:p>
        </w:tc>
        <w:tc>
          <w:tcPr>
            <w:tcW w:type="dxa" w:w="1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w:t>
            </w:r>
          </w:p>
        </w:tc>
      </w:tr>
      <w:tr>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SA Tenders and Contracts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tenders.sa.gov.au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w:t>
            </w:r>
          </w:p>
        </w:tc>
      </w:tr>
      <w:tr>
        <w:tc>
          <w:tcPr>
            <w:tcW w:type="dxa" w:w="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10</w:t>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TAS Government Purchasing</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purchasing.tas.gov.au</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MEDIUM</w:t>
            </w:r>
          </w:p>
        </w:tc>
      </w:tr>
      <w:tr>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11</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AusTender (Federal)</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tenders.gov.au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w:t>
            </w:r>
          </w:p>
        </w:tc>
      </w:tr>
      <w:tr>
        <w:tc>
          <w:tcPr>
            <w:tcW w:type="dxa" w:w="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12</w:t>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Housing Australia HAFF Round 3</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housingaustralia.gov.au</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EOI open now</w:t>
            </w:r>
          </w:p>
        </w:tc>
        <w:tc>
          <w:tcPr>
            <w:tcW w:type="dxa" w:w="1826"/>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sz w:val="18"/>
                <w:szCs w:val="18"/>
              </w:rPr>
              <w:t xml:space="preserve">CRITICAL</w:t>
            </w:r>
          </w:p>
        </w:tc>
      </w:tr>
      <w:tr>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13</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Supply Nation Registration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supplynation.org.au</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w:t>
            </w:r>
          </w:p>
        </w:tc>
      </w:tr>
      <w:tr>
        <w:tc>
          <w:tcPr>
            <w:tcW w:type="dxa" w:w="7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14</w:t>
            </w:r>
          </w:p>
        </w:tc>
        <w:tc>
          <w:tcPr>
            <w:tcW w:type="dxa" w:w="25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prefabAUS Membership</w:t>
            </w:r>
          </w:p>
        </w:tc>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prefabaus.org.au</w:t>
            </w:r>
          </w:p>
        </w:tc>
        <w:tc>
          <w:tcPr>
            <w:tcW w:type="dxa" w:w="18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sz w:val="18"/>
                <w:szCs w:val="18"/>
              </w:rPr>
              <w:t xml:space="preserve">Open</w:t>
            </w:r>
          </w:p>
        </w:tc>
        <w:tc>
          <w:tcPr>
            <w:tcW w:type="dxa" w:w="1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w:t>
            </w:r>
          </w:p>
        </w:tc>
      </w:tr>
    </w:tbl>
    <w:p>
      <w:r>
        <w:br w:type="page"/>
      </w:r>
    </w:p>
    <w:p>
      <w:pPr>
        <w:pStyle w:val="Heading1"/>
      </w:pPr>
      <w:r>
        <w:t xml:space="preserve">6. 90-Day Launch Roadmap</w:t>
      </w:r>
    </w:p>
    <w:p>
      <w:pPr>
        <w:pStyle w:val="Heading3"/>
      </w:pPr>
      <w:r>
        <w:t xml:space="preserve">Month 1: Registration &amp; Positioning</w:t>
      </w:r>
    </w:p>
    <w:p>
      <w:pPr>
        <w:pStyle w:val="ListParagraph"/>
        <w:numPr>
          <w:ilvl w:val="0"/>
          <w:numId w:val="3"/>
        </w:numPr>
        <w:spacing w:after="80"/>
      </w:pPr>
      <w:r>
        <w:t xml:space="preserve">Complete all CRITICAL registrations (NSW SCM5862, QBuild, Tenders WA, NT QTOL, HAFF Round 3)</w:t>
      </w:r>
    </w:p>
    <w:p>
      <w:pPr>
        <w:pStyle w:val="ListParagraph"/>
        <w:numPr>
          <w:ilvl w:val="0"/>
          <w:numId w:val="3"/>
        </w:numPr>
        <w:spacing w:after="80"/>
      </w:pPr>
      <w:r>
        <w:t xml:space="preserve">Develop national capability statement referencing all state specification frameworks</w:t>
      </w:r>
    </w:p>
    <w:p>
      <w:pPr>
        <w:pStyle w:val="ListParagraph"/>
        <w:numPr>
          <w:ilvl w:val="0"/>
          <w:numId w:val="3"/>
        </w:numPr>
        <w:spacing w:after="80"/>
      </w:pPr>
      <w:r>
        <w:t xml:space="preserve">Pre-qualify 3–5 Australian manufacturers and 2–3 Asian manufacturers against NCC and state specs</w:t>
      </w:r>
    </w:p>
    <w:p>
      <w:pPr>
        <w:pStyle w:val="ListParagraph"/>
        <w:numPr>
          <w:ilvl w:val="0"/>
          <w:numId w:val="3"/>
        </w:numPr>
        <w:spacing w:after="80"/>
      </w:pPr>
      <w:r>
        <w:t xml:space="preserve">Join prefabAUS and Supply Nation</w:t>
      </w:r>
    </w:p>
    <w:p>
      <w:pPr>
        <w:pStyle w:val="ListParagraph"/>
        <w:numPr>
          <w:ilvl w:val="0"/>
          <w:numId w:val="3"/>
        </w:numPr>
        <w:spacing w:after="120"/>
      </w:pPr>
      <w:r>
        <w:t xml:space="preserve">Establish legal entity structure for multi-state operations</w:t>
      </w:r>
    </w:p>
    <w:p>
      <w:pPr>
        <w:pStyle w:val="Heading3"/>
      </w:pPr>
      <w:r>
        <w:t xml:space="preserve">Month 2: Stakeholder Engagement</w:t>
      </w:r>
    </w:p>
    <w:p>
      <w:pPr>
        <w:pStyle w:val="ListParagraph"/>
        <w:numPr>
          <w:ilvl w:val="0"/>
          <w:numId w:val="3"/>
        </w:numPr>
        <w:spacing w:after="80"/>
      </w:pPr>
      <w:r>
        <w:t xml:space="preserve">Brief DevelopmentWA on Central Integrator model for upcoming tender pipeline</w:t>
      </w:r>
    </w:p>
    <w:p>
      <w:pPr>
        <w:pStyle w:val="ListParagraph"/>
        <w:numPr>
          <w:ilvl w:val="0"/>
          <w:numId w:val="3"/>
        </w:numPr>
        <w:spacing w:after="80"/>
      </w:pPr>
      <w:r>
        <w:t xml:space="preserve">Engage Homes NSW MMC team (homesnsw-hp-mmc@homes.nsw.gov.au) on System 600 compatibility</w:t>
      </w:r>
    </w:p>
    <w:p>
      <w:pPr>
        <w:pStyle w:val="ListParagraph"/>
        <w:numPr>
          <w:ilvl w:val="0"/>
          <w:numId w:val="3"/>
        </w:numPr>
        <w:spacing w:after="80"/>
      </w:pPr>
      <w:r>
        <w:t xml:space="preserve">Meet QBuild Strategic Sourcing team re next SOA intake</w:t>
      </w:r>
    </w:p>
    <w:p>
      <w:pPr>
        <w:pStyle w:val="ListParagraph"/>
        <w:numPr>
          <w:ilvl w:val="0"/>
          <w:numId w:val="3"/>
        </w:numPr>
        <w:spacing w:after="80"/>
      </w:pPr>
      <w:r>
        <w:t xml:space="preserve">Engage Aboriginal Housing NT on remote community delivery partnership</w:t>
      </w:r>
    </w:p>
    <w:p>
      <w:pPr>
        <w:pStyle w:val="ListParagraph"/>
        <w:numPr>
          <w:ilvl w:val="0"/>
          <w:numId w:val="3"/>
        </w:numPr>
        <w:spacing w:after="80"/>
      </w:pPr>
      <w:r>
        <w:t xml:space="preserve">Connect with Community Housing Providers for HAFF Round 3 partnership opportunities</w:t>
      </w:r>
    </w:p>
    <w:p>
      <w:pPr>
        <w:pStyle w:val="ListParagraph"/>
        <w:numPr>
          <w:ilvl w:val="0"/>
          <w:numId w:val="3"/>
        </w:numPr>
        <w:spacing w:after="120"/>
      </w:pPr>
      <w:r>
        <w:t xml:space="preserve">Initiate discussions with Housing Australia as a Housing Enabler partner</w:t>
      </w:r>
    </w:p>
    <w:p>
      <w:pPr>
        <w:pStyle w:val="Heading3"/>
      </w:pPr>
      <w:r>
        <w:t xml:space="preserve">Month 3: First Tender Response</w:t>
      </w:r>
    </w:p>
    <w:p>
      <w:pPr>
        <w:pStyle w:val="ListParagraph"/>
        <w:numPr>
          <w:ilvl w:val="0"/>
          <w:numId w:val="3"/>
        </w:numPr>
        <w:spacing w:after="80"/>
      </w:pPr>
      <w:r>
        <w:t xml:space="preserve">Submit first tender/EOI targeting WA Prefabricated Housing program (strongest spec alignment)</w:t>
      </w:r>
    </w:p>
    <w:p>
      <w:pPr>
        <w:pStyle w:val="ListParagraph"/>
        <w:numPr>
          <w:ilvl w:val="0"/>
          <w:numId w:val="3"/>
        </w:numPr>
        <w:spacing w:after="80"/>
      </w:pPr>
      <w:r>
        <w:t xml:space="preserve">Develop prototype cost models for 2-bed, 3-bed, 4-bed across standard and cyclone configurations</w:t>
      </w:r>
    </w:p>
    <w:p>
      <w:pPr>
        <w:pStyle w:val="ListParagraph"/>
        <w:numPr>
          <w:ilvl w:val="0"/>
          <w:numId w:val="3"/>
        </w:numPr>
        <w:spacing w:after="80"/>
      </w:pPr>
      <w:r>
        <w:t xml:space="preserve">Map transport logistics from Asian ports to Fremantle, Broome, Port Hedland, Darwin, Cairns</w:t>
      </w:r>
    </w:p>
    <w:p>
      <w:pPr>
        <w:pStyle w:val="ListParagraph"/>
        <w:numPr>
          <w:ilvl w:val="0"/>
          <w:numId w:val="3"/>
        </w:numPr>
        <w:spacing w:after="80"/>
      </w:pPr>
      <w:r>
        <w:t xml:space="preserve">Apply for WA Housing Innovation Program grant ($3M maximum)</w:t>
      </w:r>
    </w:p>
    <w:p>
      <w:pPr>
        <w:pStyle w:val="ListParagraph"/>
        <w:numPr>
          <w:ilvl w:val="0"/>
          <w:numId w:val="3"/>
        </w:numPr>
        <w:spacing w:after="120"/>
      </w:pPr>
      <w:r>
        <w:t xml:space="preserve">Establish QA/compliance framework covering all state specification requirements</w:t>
      </w:r>
    </w:p>
    <w:p>
      <w:pPr>
        <w:pStyle w:val="Heading1"/>
      </w:pPr>
      <w:r>
        <w:t xml:space="preserve">7. The War Cry</w:t>
      </w:r>
    </w:p>
    <w:p>
      <w:pPr>
        <w:spacing w:after="200"/>
        <w:jc w:val="center"/>
      </w:pPr>
      <w:r>
        <w:rPr>
          <w:rFonts w:ascii="Arial" w:cs="Arial" w:eastAsia="Arial" w:hAnsi="Arial"/>
          <w:b/>
          <w:bCs/>
          <w:color w:val="C1440E"/>
          <w:sz w:val="44"/>
          <w:szCs w:val="44"/>
        </w:rPr>
        <w:t xml:space="preserve">ALL HANDS TO THE WHEEL</w:t>
      </w:r>
    </w:p>
    <w:p>
      <w:pPr>
        <w:spacing w:after="160"/>
      </w:pPr>
      <w:r>
        <w:t xml:space="preserve">169,000 households are waiting. 375,000 homes are missing. Every state government, every territory government, and the federal government have committed $70+ billion. The specifications are published. The manufacturers exist. The money is allocated.</w:t>
      </w:r>
    </w:p>
    <w:p>
      <w:pPr>
        <w:spacing w:after="160"/>
      </w:pPr>
      <w:r>
        <w:t xml:space="preserve">What is missing is the entity that can stitch it all together — impartially, nationally, at the speed this emergency demands. Not beholden to any single manufacturer. Not locked into any single state. Not limited to any single building typology.</w:t>
      </w:r>
    </w:p>
    <w:p>
      <w:pPr>
        <w:spacing w:after="160"/>
      </w:pPr>
      <w:r>
        <w:t xml:space="preserve">F2K is that entity. Factory to Key. The impartial national integrator finding best-fit solutions for every use case, across every state, for every Australian who needs a home.</w:t>
      </w:r>
    </w:p>
    <w:p>
      <w:pPr>
        <w:pBdr>
          <w:top w:val="single" w:color="C1440E" w:sz="6" w:space="12"/>
          <w:bottom w:val="single" w:color="C1440E" w:sz="6" w:space="12"/>
        </w:pBdr>
        <w:spacing w:after="200"/>
        <w:jc w:val="center"/>
      </w:pPr>
      <w:r>
        <w:rPr>
          <w:rFonts w:ascii="Arial" w:cs="Arial" w:eastAsia="Arial" w:hAnsi="Arial"/>
          <w:b/>
          <w:bCs/>
          <w:i/>
          <w:iCs/>
          <w:color w:val="1B2A4A"/>
          <w:sz w:val="26"/>
          <w:szCs w:val="26"/>
        </w:rPr>
        <w:t xml:space="preserve">The crisis is now. The funding is now. The time to act is now.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C1440E"/>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2026-02-19T04:32:47.474Z</dcterms:created>
  <dcterms:modified xsi:type="dcterms:W3CDTF">2026-02-19T04:32:47.475Z</dcterms:modified>
</cp:coreProperties>
</file>

<file path=docProps/custom.xml><?xml version="1.0" encoding="utf-8"?>
<Properties xmlns="http://schemas.openxmlformats.org/officeDocument/2006/custom-properties" xmlns:vt="http://schemas.openxmlformats.org/officeDocument/2006/docPropsVTypes"/>
</file>